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44" w:rsidRPr="00BA45E4" w:rsidRDefault="004B0244" w:rsidP="004B0244">
      <w:pPr>
        <w:jc w:val="center"/>
        <w:rPr>
          <w:b/>
        </w:rPr>
      </w:pPr>
      <w:r>
        <w:rPr>
          <w:b/>
        </w:rPr>
        <w:t>Mobilitási projektek</w:t>
      </w:r>
      <w:r w:rsidR="008F2A21">
        <w:rPr>
          <w:b/>
        </w:rPr>
        <w:t xml:space="preserve"> – </w:t>
      </w:r>
      <w:r w:rsidR="00A327C2" w:rsidRPr="00A327C2">
        <w:rPr>
          <w:b/>
        </w:rPr>
        <w:t>felsőoktatási munkatársak képzési célú mobilitása</w:t>
      </w:r>
    </w:p>
    <w:p w:rsidR="003E3FA8" w:rsidRPr="003E3FA8" w:rsidRDefault="00BA45E4" w:rsidP="003E3FA8">
      <w:pPr>
        <w:pStyle w:val="Listaszerbekezds"/>
        <w:numPr>
          <w:ilvl w:val="0"/>
          <w:numId w:val="1"/>
        </w:numPr>
        <w:rPr>
          <w:b/>
        </w:rPr>
      </w:pPr>
      <w:r w:rsidRPr="00757251">
        <w:rPr>
          <w:b/>
        </w:rPr>
        <w:t>A pályázattípus célja</w:t>
      </w:r>
    </w:p>
    <w:p w:rsidR="002037D8" w:rsidRDefault="00A327C2" w:rsidP="00A327C2">
      <w:pPr>
        <w:pStyle w:val="Listaszerbekezds"/>
        <w:numPr>
          <w:ilvl w:val="0"/>
          <w:numId w:val="13"/>
        </w:numPr>
        <w:spacing w:before="100" w:beforeAutospacing="1" w:after="60" w:line="240" w:lineRule="auto"/>
      </w:pPr>
      <w:r w:rsidRPr="00A327C2">
        <w:t xml:space="preserve">Oktatók, adminisztratív és más nem oktató munkatársak külföldi </w:t>
      </w:r>
      <w:proofErr w:type="spellStart"/>
      <w:r w:rsidRPr="00A327C2">
        <w:t>programországbeli</w:t>
      </w:r>
      <w:proofErr w:type="spellEnd"/>
      <w:r w:rsidRPr="00A327C2">
        <w:t xml:space="preserve"> partnernél (felsőoktatási intézménynél vagy vállalkozásnál) végzett mobilitása tudástranszfer, vagy készségek fejlesztése céljából (szemináriumok, kurzusok, gyakorlati periódus, átirányítás stb.). </w:t>
      </w:r>
    </w:p>
    <w:p w:rsidR="003E3FA8" w:rsidRDefault="003E3FA8" w:rsidP="003E3FA8">
      <w:pPr>
        <w:pStyle w:val="Listaszerbekezds"/>
      </w:pPr>
    </w:p>
    <w:p w:rsidR="00BA45E4" w:rsidRPr="00757251" w:rsidRDefault="00BA45E4" w:rsidP="00BA45E4">
      <w:pPr>
        <w:pStyle w:val="Listaszerbekezds"/>
        <w:numPr>
          <w:ilvl w:val="0"/>
          <w:numId w:val="1"/>
        </w:numPr>
        <w:rPr>
          <w:b/>
        </w:rPr>
      </w:pPr>
      <w:r w:rsidRPr="00757251">
        <w:rPr>
          <w:b/>
        </w:rPr>
        <w:t>A pályázásra jogosultak köre</w:t>
      </w:r>
    </w:p>
    <w:p w:rsidR="00F91048" w:rsidRDefault="002037D8" w:rsidP="00A327C2">
      <w:pPr>
        <w:pStyle w:val="Listaszerbekezds"/>
        <w:numPr>
          <w:ilvl w:val="0"/>
          <w:numId w:val="14"/>
        </w:numPr>
      </w:pPr>
      <w:r w:rsidRPr="002037D8">
        <w:t xml:space="preserve">Erasmus Charter </w:t>
      </w:r>
      <w:proofErr w:type="spellStart"/>
      <w:r w:rsidRPr="002037D8">
        <w:t>for</w:t>
      </w:r>
      <w:proofErr w:type="spellEnd"/>
      <w:r w:rsidRPr="002037D8">
        <w:t xml:space="preserve"> </w:t>
      </w:r>
      <w:proofErr w:type="spellStart"/>
      <w:r w:rsidRPr="002037D8">
        <w:t>Higher</w:t>
      </w:r>
      <w:proofErr w:type="spellEnd"/>
      <w:r w:rsidRPr="002037D8">
        <w:t xml:space="preserve"> Education tanúsítvánnyal ren</w:t>
      </w:r>
      <w:r w:rsidR="00B767E2">
        <w:t xml:space="preserve">delkező felsőoktatási intézmények </w:t>
      </w:r>
      <w:r w:rsidR="00A327C2">
        <w:t>munkatársai</w:t>
      </w:r>
    </w:p>
    <w:p w:rsidR="00851FED" w:rsidRDefault="00851FED" w:rsidP="00BA45E4">
      <w:pPr>
        <w:pStyle w:val="Listaszerbekezds"/>
      </w:pPr>
    </w:p>
    <w:p w:rsidR="00BA45E4" w:rsidRPr="00757251" w:rsidRDefault="00BA45E4" w:rsidP="00BA45E4">
      <w:pPr>
        <w:pStyle w:val="Listaszerbekezds"/>
        <w:numPr>
          <w:ilvl w:val="0"/>
          <w:numId w:val="1"/>
        </w:numPr>
        <w:rPr>
          <w:b/>
        </w:rPr>
      </w:pPr>
      <w:r w:rsidRPr="00757251">
        <w:rPr>
          <w:b/>
        </w:rPr>
        <w:t>Támogatható tevékenységek</w:t>
      </w:r>
    </w:p>
    <w:p w:rsidR="00F91048" w:rsidRDefault="002037D8" w:rsidP="002037D8">
      <w:pPr>
        <w:pStyle w:val="Listaszerbekezds"/>
        <w:numPr>
          <w:ilvl w:val="0"/>
          <w:numId w:val="13"/>
        </w:numPr>
      </w:pPr>
      <w:r w:rsidRPr="002037D8">
        <w:t xml:space="preserve">felsőoktatási munkatársak </w:t>
      </w:r>
      <w:r w:rsidR="00A327C2">
        <w:t xml:space="preserve">képzési </w:t>
      </w:r>
      <w:r w:rsidRPr="002037D8">
        <w:t>célú mobilitása (2-60 nap</w:t>
      </w:r>
      <w:r>
        <w:t xml:space="preserve"> utazás nélkül</w:t>
      </w:r>
      <w:r w:rsidRPr="002037D8">
        <w:t>)</w:t>
      </w:r>
    </w:p>
    <w:p w:rsidR="00BA45E4" w:rsidRDefault="00BA45E4" w:rsidP="00BA45E4">
      <w:pPr>
        <w:pStyle w:val="Listaszerbekezds"/>
      </w:pPr>
    </w:p>
    <w:p w:rsidR="00BA45E4" w:rsidRPr="00757251" w:rsidRDefault="00BA45E4" w:rsidP="00BA45E4">
      <w:pPr>
        <w:pStyle w:val="Listaszerbekezds"/>
        <w:numPr>
          <w:ilvl w:val="0"/>
          <w:numId w:val="1"/>
        </w:numPr>
        <w:rPr>
          <w:b/>
        </w:rPr>
      </w:pPr>
      <w:r w:rsidRPr="00757251">
        <w:rPr>
          <w:b/>
        </w:rPr>
        <w:t>A programban részt vevő országok</w:t>
      </w:r>
    </w:p>
    <w:p w:rsidR="00757251" w:rsidRDefault="00757251" w:rsidP="00757251">
      <w:pPr>
        <w:ind w:left="360"/>
        <w:jc w:val="both"/>
      </w:pPr>
      <w:r>
        <w:t>Az alábbi országok vesznek részt a</w:t>
      </w:r>
      <w:r w:rsidR="0065365C">
        <w:t xml:space="preserve"> pályázatba</w:t>
      </w:r>
      <w:r>
        <w:t>n:</w:t>
      </w:r>
    </w:p>
    <w:p w:rsidR="00757251" w:rsidRDefault="00757251" w:rsidP="00757251">
      <w:pPr>
        <w:ind w:left="360"/>
        <w:jc w:val="both"/>
      </w:pPr>
      <w:r>
        <w:t>Az Európai Unió tagállamai (Ausztria, Belgium, Bulgária, Ciprus, Cseh Köztársaság,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BA45E4" w:rsidRDefault="00757251" w:rsidP="00757251">
      <w:pPr>
        <w:ind w:left="360"/>
      </w:pPr>
      <w:r>
        <w:t xml:space="preserve">Nem EU tagállamként a programban szintén részt vesz: </w:t>
      </w:r>
      <w:r w:rsidRPr="00E076CD">
        <w:t>Macedónia Volt Jugoszláv Köztársaság</w:t>
      </w:r>
      <w:r>
        <w:t xml:space="preserve">, Izland, </w:t>
      </w:r>
      <w:r w:rsidR="009A694E">
        <w:t xml:space="preserve">Liechtenstein, Norvégia, </w:t>
      </w:r>
      <w:bookmarkStart w:id="0" w:name="_GoBack"/>
      <w:bookmarkEnd w:id="0"/>
      <w:r>
        <w:t>Törökország</w:t>
      </w:r>
    </w:p>
    <w:p w:rsidR="00BA45E4" w:rsidRPr="00757251" w:rsidRDefault="00BA45E4" w:rsidP="00BA45E4">
      <w:pPr>
        <w:pStyle w:val="Listaszerbekezds"/>
        <w:numPr>
          <w:ilvl w:val="0"/>
          <w:numId w:val="1"/>
        </w:numPr>
        <w:rPr>
          <w:b/>
        </w:rPr>
      </w:pPr>
      <w:r w:rsidRPr="00757251">
        <w:rPr>
          <w:b/>
        </w:rPr>
        <w:t>Pályázati feltételek</w:t>
      </w:r>
    </w:p>
    <w:p w:rsidR="002037D8" w:rsidRDefault="006023BB" w:rsidP="002037D8">
      <w:pPr>
        <w:pStyle w:val="Listaszerbekezds"/>
        <w:numPr>
          <w:ilvl w:val="0"/>
          <w:numId w:val="13"/>
        </w:numPr>
      </w:pPr>
      <w:r>
        <w:t xml:space="preserve">A </w:t>
      </w:r>
      <w:r w:rsidR="00A327C2">
        <w:t xml:space="preserve">küldő </w:t>
      </w:r>
      <w:r>
        <w:t xml:space="preserve">intézmény minden esetben </w:t>
      </w:r>
      <w:r w:rsidR="002037D8">
        <w:t>ECHE</w:t>
      </w:r>
      <w:r w:rsidR="00B767E2">
        <w:t xml:space="preserve"> tanúsítvánnyal</w:t>
      </w:r>
      <w:r>
        <w:t xml:space="preserve"> rendelkező felsőoktatási intézmény</w:t>
      </w:r>
      <w:r w:rsidR="002037D8">
        <w:t>.</w:t>
      </w:r>
    </w:p>
    <w:p w:rsidR="002037D8" w:rsidRDefault="002037D8" w:rsidP="002037D8">
      <w:pPr>
        <w:pStyle w:val="Listaszerbekezds"/>
        <w:numPr>
          <w:ilvl w:val="0"/>
          <w:numId w:val="13"/>
        </w:numPr>
      </w:pPr>
      <w:r>
        <w:t xml:space="preserve">A küldő intézmény lehet egy </w:t>
      </w:r>
      <w:r w:rsidR="00B767E2">
        <w:t xml:space="preserve">ECHE </w:t>
      </w:r>
      <w:proofErr w:type="gramStart"/>
      <w:r w:rsidR="00B767E2">
        <w:t xml:space="preserve">tanúsítvánnyal </w:t>
      </w:r>
      <w:r>
        <w:t xml:space="preserve"> rendelkező</w:t>
      </w:r>
      <w:proofErr w:type="gramEnd"/>
      <w:r>
        <w:t xml:space="preserve"> felsőoktatási intézmény vagy bármilyen külföldi „vállalkozás” (a munkaerőpiacon vagy az oktatás, képzés vagy </w:t>
      </w:r>
      <w:r w:rsidR="00496FF8">
        <w:t xml:space="preserve">az ifjúság </w:t>
      </w:r>
      <w:r>
        <w:t>területén aktív privát vagy közintézmény).</w:t>
      </w:r>
    </w:p>
    <w:p w:rsidR="00A327C2" w:rsidRDefault="00A327C2" w:rsidP="00A327C2">
      <w:pPr>
        <w:pStyle w:val="Listaszerbekezds"/>
        <w:numPr>
          <w:ilvl w:val="0"/>
          <w:numId w:val="13"/>
        </w:numPr>
      </w:pPr>
      <w:r w:rsidRPr="00A327C2">
        <w:t xml:space="preserve">Konferencia részvétel nem támogatható! </w:t>
      </w:r>
    </w:p>
    <w:p w:rsidR="003F1C39" w:rsidRDefault="002037D8" w:rsidP="002037D8">
      <w:pPr>
        <w:pStyle w:val="Listaszerbekezds"/>
        <w:numPr>
          <w:ilvl w:val="0"/>
          <w:numId w:val="13"/>
        </w:numPr>
      </w:pPr>
      <w:r>
        <w:t>Helyszín: nem lehet a küldő intézmény országa és a lakóhely szerinti ország sem.</w:t>
      </w:r>
    </w:p>
    <w:p w:rsidR="00496FF8" w:rsidRDefault="00496FF8" w:rsidP="00496FF8">
      <w:pPr>
        <w:pStyle w:val="Listaszerbekezds"/>
        <w:numPr>
          <w:ilvl w:val="0"/>
          <w:numId w:val="13"/>
        </w:numPr>
      </w:pPr>
      <w:r>
        <w:t>A</w:t>
      </w:r>
      <w:r w:rsidR="00A327C2">
        <w:t xml:space="preserve"> munkatárs </w:t>
      </w:r>
      <w:r w:rsidRPr="00496FF8">
        <w:t>a</w:t>
      </w:r>
      <w:r>
        <w:t xml:space="preserve"> pályázatában</w:t>
      </w:r>
      <w:r w:rsidRPr="00496FF8">
        <w:t xml:space="preserve"> benyújtott, az érintett felek által jóváhagyott és aláírásukkal elfogadott egyéni munkaprogramot követi.</w:t>
      </w:r>
    </w:p>
    <w:p w:rsidR="00BA45E4" w:rsidRDefault="00BA45E4" w:rsidP="00BA45E4">
      <w:pPr>
        <w:pStyle w:val="Listaszerbekezds"/>
      </w:pPr>
    </w:p>
    <w:p w:rsidR="00BA45E4" w:rsidRPr="00757251" w:rsidRDefault="00BA45E4" w:rsidP="007223C8">
      <w:pPr>
        <w:pStyle w:val="Listaszerbekezds"/>
        <w:keepNext/>
        <w:numPr>
          <w:ilvl w:val="0"/>
          <w:numId w:val="1"/>
        </w:numPr>
        <w:ind w:left="714" w:hanging="357"/>
        <w:rPr>
          <w:b/>
        </w:rPr>
      </w:pPr>
      <w:r w:rsidRPr="00757251">
        <w:rPr>
          <w:b/>
        </w:rPr>
        <w:t>Prioritások</w:t>
      </w:r>
    </w:p>
    <w:p w:rsidR="00757251" w:rsidRPr="0065365C" w:rsidRDefault="00757251" w:rsidP="00757251">
      <w:pPr>
        <w:pStyle w:val="Listaszerbekezds"/>
        <w:jc w:val="both"/>
      </w:pPr>
      <w:r w:rsidRPr="0065365C">
        <w:t>Az oktatás és képzés területén az alábbi prioritások kerültek meghatározásra:</w:t>
      </w:r>
    </w:p>
    <w:p w:rsidR="00757251" w:rsidRPr="0065365C" w:rsidRDefault="00757251" w:rsidP="00757251">
      <w:pPr>
        <w:pStyle w:val="Listaszerbekezds"/>
        <w:numPr>
          <w:ilvl w:val="0"/>
          <w:numId w:val="6"/>
        </w:numPr>
        <w:jc w:val="both"/>
      </w:pPr>
      <w:r w:rsidRPr="0065365C">
        <w:t>Készségek és kulcskompetenciák, mint a vállalkozókészség, digitális kompetenciák és többnyelvűség, továbbá újszerű és tanulóközpontú pedagógiai módszerek fejlesztése;</w:t>
      </w:r>
    </w:p>
    <w:p w:rsidR="00757251" w:rsidRPr="0065365C" w:rsidRDefault="00757251" w:rsidP="00757251">
      <w:pPr>
        <w:pStyle w:val="Listaszerbekezds"/>
        <w:numPr>
          <w:ilvl w:val="0"/>
          <w:numId w:val="6"/>
        </w:numPr>
        <w:jc w:val="both"/>
      </w:pPr>
      <w:r w:rsidRPr="0065365C">
        <w:t xml:space="preserve">Az információs és kommunikációs technológiák (IKT) használatának elősegítése az oktatásban, többek között nyitott oktatási segédanyagokhoz való hozzáférés, </w:t>
      </w:r>
      <w:proofErr w:type="spellStart"/>
      <w:r w:rsidRPr="0065365C">
        <w:t>IKT-alapú</w:t>
      </w:r>
      <w:proofErr w:type="spellEnd"/>
      <w:r w:rsidRPr="0065365C">
        <w:t xml:space="preserve"> tanítás és a digitális tartalmak felhasználói és előállítói jogainak és kötelezettségének átláthatósága révén;</w:t>
      </w:r>
    </w:p>
    <w:p w:rsidR="00757251" w:rsidRPr="0065365C" w:rsidRDefault="00757251" w:rsidP="00757251">
      <w:pPr>
        <w:pStyle w:val="Listaszerbekezds"/>
        <w:numPr>
          <w:ilvl w:val="0"/>
          <w:numId w:val="6"/>
        </w:numPr>
        <w:jc w:val="both"/>
      </w:pPr>
      <w:r w:rsidRPr="0065365C">
        <w:lastRenderedPageBreak/>
        <w:t>Készségek és végzettségek átláthatóságának és elismerésének javítása;</w:t>
      </w:r>
    </w:p>
    <w:p w:rsidR="002037D8" w:rsidRDefault="00757251" w:rsidP="002037D8">
      <w:pPr>
        <w:pStyle w:val="Listaszerbekezds"/>
        <w:numPr>
          <w:ilvl w:val="0"/>
          <w:numId w:val="6"/>
        </w:numPr>
        <w:jc w:val="both"/>
      </w:pPr>
      <w:r w:rsidRPr="0065365C">
        <w:t xml:space="preserve">Az oktatás és képzés illetve a készségek fejlesztése területén a beruházások és pénzügyi támogatások illeszkedésének elősegítése, valamint az oktatásba és képzésbe történő hatékony és fenntartható beruházások európai és nemzeti szinten történő megvitatásának ösztönzése az érintettek bevonásával. </w:t>
      </w:r>
    </w:p>
    <w:p w:rsidR="00BA45E4" w:rsidRDefault="0065365C" w:rsidP="002037D8">
      <w:pPr>
        <w:pStyle w:val="Listaszerbekezds"/>
        <w:numPr>
          <w:ilvl w:val="0"/>
          <w:numId w:val="6"/>
        </w:numPr>
        <w:tabs>
          <w:tab w:val="num" w:pos="-993"/>
        </w:tabs>
        <w:jc w:val="both"/>
      </w:pPr>
      <w:r w:rsidRPr="0065365C">
        <w:t xml:space="preserve">A felsőoktatás esetében fontos szempont adott projekt hozzájárulása az európai felsőoktatási rendszerek modernizációjához, amint az </w:t>
      </w:r>
      <w:hyperlink r:id="rId7" w:history="1">
        <w:r w:rsidRPr="00BB549B">
          <w:rPr>
            <w:rStyle w:val="Hiperhivatkozs"/>
          </w:rPr>
          <w:t>a 2011-es EU Felsőoktatási ütemtervben</w:t>
        </w:r>
      </w:hyperlink>
      <w:r w:rsidRPr="0065365C">
        <w:t xml:space="preserve"> meghatározásra került;</w:t>
      </w:r>
    </w:p>
    <w:p w:rsidR="0065365C" w:rsidRDefault="0065365C" w:rsidP="0065365C">
      <w:pPr>
        <w:pStyle w:val="Bullet-Dot"/>
        <w:numPr>
          <w:ilvl w:val="0"/>
          <w:numId w:val="0"/>
        </w:numPr>
        <w:ind w:left="160"/>
      </w:pPr>
    </w:p>
    <w:p w:rsidR="00530E46" w:rsidRDefault="0065365C" w:rsidP="0065365C">
      <w:pPr>
        <w:pStyle w:val="Listaszerbekezds"/>
      </w:pPr>
      <w:r w:rsidRPr="0065365C">
        <w:t>A 2014-2020-as időszakban a program költségvetésének 77,5 %-</w:t>
      </w:r>
      <w:r w:rsidR="00B767E2">
        <w:t>át</w:t>
      </w:r>
      <w:r w:rsidRPr="0065365C">
        <w:t xml:space="preserve"> fordít</w:t>
      </w:r>
      <w:r w:rsidR="00B767E2">
        <w:t>ják</w:t>
      </w:r>
      <w:r w:rsidRPr="0065365C">
        <w:t xml:space="preserve"> az oktatás és képzés területére, ezen felül további 3,5 %</w:t>
      </w:r>
      <w:r w:rsidR="00B767E2">
        <w:t>-ot</w:t>
      </w:r>
      <w:r w:rsidRPr="0065365C">
        <w:t xml:space="preserve"> az Európai Diákhitel Garancia Eszközre.</w:t>
      </w:r>
    </w:p>
    <w:p w:rsidR="0065365C" w:rsidRDefault="0065365C" w:rsidP="0065365C">
      <w:pPr>
        <w:pStyle w:val="Listaszerbekezds"/>
      </w:pPr>
    </w:p>
    <w:p w:rsidR="00BA45E4" w:rsidRDefault="00BA45E4" w:rsidP="00BA45E4">
      <w:pPr>
        <w:pStyle w:val="Listaszerbekezds"/>
        <w:numPr>
          <w:ilvl w:val="0"/>
          <w:numId w:val="1"/>
        </w:numPr>
        <w:rPr>
          <w:b/>
        </w:rPr>
      </w:pPr>
      <w:r w:rsidRPr="00757251">
        <w:rPr>
          <w:b/>
        </w:rPr>
        <w:t>A támogatás mértéke</w:t>
      </w:r>
    </w:p>
    <w:p w:rsidR="000027DA" w:rsidRPr="000027DA" w:rsidRDefault="000027DA" w:rsidP="000027DA">
      <w:pPr>
        <w:pStyle w:val="Bullet-Dot"/>
        <w:numPr>
          <w:ilvl w:val="0"/>
          <w:numId w:val="0"/>
        </w:numPr>
        <w:ind w:left="935" w:hanging="227"/>
        <w:rPr>
          <w:rFonts w:asciiTheme="minorHAnsi" w:hAnsiTheme="minorHAnsi"/>
          <w:sz w:val="22"/>
          <w:szCs w:val="22"/>
        </w:rPr>
      </w:pPr>
    </w:p>
    <w:tbl>
      <w:tblPr>
        <w:tblStyle w:val="Rcsostblzat"/>
        <w:tblW w:w="0" w:type="auto"/>
        <w:tblInd w:w="720" w:type="dxa"/>
        <w:tblLook w:val="04A0" w:firstRow="1" w:lastRow="0" w:firstColumn="1" w:lastColumn="0" w:noHBand="0" w:noVBand="1"/>
      </w:tblPr>
      <w:tblGrid>
        <w:gridCol w:w="5909"/>
        <w:gridCol w:w="1276"/>
        <w:gridCol w:w="1383"/>
      </w:tblGrid>
      <w:tr w:rsidR="00C96652" w:rsidTr="0048706E">
        <w:tc>
          <w:tcPr>
            <w:tcW w:w="5909" w:type="dxa"/>
            <w:shd w:val="clear" w:color="auto" w:fill="EEECE1" w:themeFill="background2"/>
            <w:vAlign w:val="center"/>
          </w:tcPr>
          <w:p w:rsidR="00C96652" w:rsidRPr="00C96652" w:rsidRDefault="0048706E" w:rsidP="006A0FE5">
            <w:pPr>
              <w:pStyle w:val="Listaszerbekezds"/>
              <w:ind w:left="0"/>
              <w:jc w:val="center"/>
            </w:pPr>
            <w:r w:rsidRPr="0048706E">
              <w:t>Fogadó ország</w:t>
            </w:r>
          </w:p>
        </w:tc>
        <w:tc>
          <w:tcPr>
            <w:tcW w:w="1276" w:type="dxa"/>
            <w:shd w:val="clear" w:color="auto" w:fill="EEECE1" w:themeFill="background2"/>
          </w:tcPr>
          <w:p w:rsidR="00C96652" w:rsidRDefault="0048706E" w:rsidP="006A0FE5">
            <w:pPr>
              <w:pStyle w:val="Listaszerbekezds"/>
              <w:ind w:left="0"/>
              <w:jc w:val="center"/>
            </w:pPr>
            <w:r>
              <w:t>1.-14. nap</w:t>
            </w:r>
          </w:p>
        </w:tc>
        <w:tc>
          <w:tcPr>
            <w:tcW w:w="1383" w:type="dxa"/>
            <w:shd w:val="clear" w:color="auto" w:fill="EEECE1" w:themeFill="background2"/>
          </w:tcPr>
          <w:p w:rsidR="00C96652" w:rsidRDefault="0048706E" w:rsidP="0048706E">
            <w:pPr>
              <w:pStyle w:val="Listaszerbekezds"/>
              <w:ind w:left="0"/>
              <w:jc w:val="center"/>
            </w:pPr>
            <w:r>
              <w:t>15.-60. nap</w:t>
            </w:r>
          </w:p>
        </w:tc>
      </w:tr>
      <w:tr w:rsidR="0048706E" w:rsidTr="0048706E">
        <w:tc>
          <w:tcPr>
            <w:tcW w:w="5909" w:type="dxa"/>
          </w:tcPr>
          <w:p w:rsidR="0048706E" w:rsidRPr="00CB606F" w:rsidRDefault="0048706E" w:rsidP="00B753B3">
            <w:r w:rsidRPr="00CB606F">
              <w:t>Dánia, Írország, Hollandia, Svédország, Egyesült Királyság</w:t>
            </w:r>
          </w:p>
        </w:tc>
        <w:tc>
          <w:tcPr>
            <w:tcW w:w="1276" w:type="dxa"/>
            <w:vAlign w:val="center"/>
          </w:tcPr>
          <w:p w:rsidR="0048706E" w:rsidRPr="00CB606F" w:rsidRDefault="0048706E" w:rsidP="0048706E">
            <w:pPr>
              <w:jc w:val="center"/>
            </w:pPr>
            <w:r w:rsidRPr="00CB606F">
              <w:t>112 €</w:t>
            </w:r>
            <w:r>
              <w:t xml:space="preserve"> / nap</w:t>
            </w:r>
          </w:p>
        </w:tc>
        <w:tc>
          <w:tcPr>
            <w:tcW w:w="1383" w:type="dxa"/>
            <w:vAlign w:val="center"/>
          </w:tcPr>
          <w:p w:rsidR="0048706E" w:rsidRPr="00CB606F" w:rsidRDefault="0048706E" w:rsidP="0048706E">
            <w:pPr>
              <w:jc w:val="center"/>
            </w:pPr>
            <w:r>
              <w:t>78</w:t>
            </w:r>
            <w:r w:rsidRPr="00CB606F">
              <w:t xml:space="preserve"> €</w:t>
            </w:r>
            <w:r>
              <w:t xml:space="preserve"> / nap</w:t>
            </w:r>
          </w:p>
        </w:tc>
      </w:tr>
      <w:tr w:rsidR="0048706E" w:rsidTr="0048706E">
        <w:tc>
          <w:tcPr>
            <w:tcW w:w="5909" w:type="dxa"/>
          </w:tcPr>
          <w:p w:rsidR="0048706E" w:rsidRPr="00CB606F" w:rsidRDefault="0048706E" w:rsidP="00B753B3">
            <w:r w:rsidRPr="00CB606F">
              <w:t>Belgium, Bulgária, Csehország, Görögország, Franciaország, Olaszország, Ciprus, Luxemburg, Magyarország, Ausztria, Lengyelország, Románia, Finnország, Izland, Liechtenstein, Norvégia, Svájc, Törökország</w:t>
            </w:r>
          </w:p>
        </w:tc>
        <w:tc>
          <w:tcPr>
            <w:tcW w:w="1276" w:type="dxa"/>
            <w:vAlign w:val="center"/>
          </w:tcPr>
          <w:p w:rsidR="0048706E" w:rsidRPr="00CB606F" w:rsidRDefault="0048706E" w:rsidP="0048706E">
            <w:pPr>
              <w:jc w:val="center"/>
            </w:pPr>
            <w:r w:rsidRPr="00CB606F">
              <w:t>98 €</w:t>
            </w:r>
            <w:r>
              <w:t xml:space="preserve"> / nap</w:t>
            </w:r>
          </w:p>
        </w:tc>
        <w:tc>
          <w:tcPr>
            <w:tcW w:w="1383" w:type="dxa"/>
            <w:vAlign w:val="center"/>
          </w:tcPr>
          <w:p w:rsidR="0048706E" w:rsidRPr="00CB606F" w:rsidRDefault="0048706E" w:rsidP="0048706E">
            <w:pPr>
              <w:jc w:val="center"/>
            </w:pPr>
            <w:r>
              <w:t>69</w:t>
            </w:r>
            <w:r w:rsidRPr="00CB606F">
              <w:t xml:space="preserve"> €</w:t>
            </w:r>
            <w:r>
              <w:t xml:space="preserve"> / nap</w:t>
            </w:r>
          </w:p>
        </w:tc>
      </w:tr>
      <w:tr w:rsidR="0048706E" w:rsidTr="0048706E">
        <w:tc>
          <w:tcPr>
            <w:tcW w:w="5909" w:type="dxa"/>
          </w:tcPr>
          <w:p w:rsidR="0048706E" w:rsidRPr="00CB606F" w:rsidRDefault="0048706E" w:rsidP="00B753B3">
            <w:r w:rsidRPr="00CB606F">
              <w:t>Németország, Spanyolország, Lettország, Málta, Portugália, Szlovákia, Macedónia</w:t>
            </w:r>
          </w:p>
        </w:tc>
        <w:tc>
          <w:tcPr>
            <w:tcW w:w="1276" w:type="dxa"/>
            <w:vAlign w:val="center"/>
          </w:tcPr>
          <w:p w:rsidR="0048706E" w:rsidRPr="00CB606F" w:rsidRDefault="0048706E" w:rsidP="0048706E">
            <w:pPr>
              <w:jc w:val="center"/>
            </w:pPr>
            <w:r w:rsidRPr="00CB606F">
              <w:t>84 €</w:t>
            </w:r>
            <w:r>
              <w:t xml:space="preserve"> / nap</w:t>
            </w:r>
          </w:p>
        </w:tc>
        <w:tc>
          <w:tcPr>
            <w:tcW w:w="1383" w:type="dxa"/>
            <w:vAlign w:val="center"/>
          </w:tcPr>
          <w:p w:rsidR="0048706E" w:rsidRPr="00CB606F" w:rsidRDefault="0048706E" w:rsidP="0048706E">
            <w:pPr>
              <w:jc w:val="center"/>
            </w:pPr>
            <w:r>
              <w:t>59</w:t>
            </w:r>
            <w:r w:rsidRPr="00CB606F">
              <w:t xml:space="preserve"> €</w:t>
            </w:r>
            <w:r>
              <w:t xml:space="preserve"> / nap</w:t>
            </w:r>
          </w:p>
        </w:tc>
      </w:tr>
      <w:tr w:rsidR="0048706E" w:rsidTr="0048706E">
        <w:tc>
          <w:tcPr>
            <w:tcW w:w="5909" w:type="dxa"/>
          </w:tcPr>
          <w:p w:rsidR="0048706E" w:rsidRPr="00CB606F" w:rsidRDefault="0048706E" w:rsidP="00B753B3">
            <w:r w:rsidRPr="00CB606F">
              <w:t>Észtország, Horvátország, Litvánia, Szlovénia</w:t>
            </w:r>
          </w:p>
        </w:tc>
        <w:tc>
          <w:tcPr>
            <w:tcW w:w="1276" w:type="dxa"/>
            <w:vAlign w:val="center"/>
          </w:tcPr>
          <w:p w:rsidR="0048706E" w:rsidRDefault="0048706E" w:rsidP="0048706E">
            <w:pPr>
              <w:jc w:val="center"/>
            </w:pPr>
            <w:r w:rsidRPr="00CB606F">
              <w:t>70 €</w:t>
            </w:r>
            <w:r>
              <w:t xml:space="preserve"> / nap</w:t>
            </w:r>
          </w:p>
        </w:tc>
        <w:tc>
          <w:tcPr>
            <w:tcW w:w="1383" w:type="dxa"/>
            <w:vAlign w:val="center"/>
          </w:tcPr>
          <w:p w:rsidR="0048706E" w:rsidRDefault="0048706E" w:rsidP="0048706E">
            <w:pPr>
              <w:jc w:val="center"/>
            </w:pPr>
            <w:r>
              <w:t>49</w:t>
            </w:r>
            <w:r w:rsidRPr="00CB606F">
              <w:t xml:space="preserve"> €</w:t>
            </w:r>
            <w:r>
              <w:t xml:space="preserve"> / nap</w:t>
            </w:r>
          </w:p>
        </w:tc>
      </w:tr>
    </w:tbl>
    <w:p w:rsidR="004B0244" w:rsidRDefault="004B0244" w:rsidP="004B0244">
      <w:pPr>
        <w:pStyle w:val="Listaszerbekezds"/>
        <w:ind w:left="1440"/>
      </w:pPr>
    </w:p>
    <w:p w:rsidR="006023BB" w:rsidRDefault="006023BB" w:rsidP="006023BB">
      <w:pPr>
        <w:pStyle w:val="Bullet-Dot"/>
        <w:numPr>
          <w:ilvl w:val="0"/>
          <w:numId w:val="0"/>
        </w:numPr>
        <w:ind w:left="935" w:hanging="227"/>
        <w:rPr>
          <w:rFonts w:asciiTheme="minorHAnsi" w:hAnsiTheme="minorHAnsi"/>
          <w:color w:val="auto"/>
          <w:sz w:val="22"/>
          <w:szCs w:val="22"/>
        </w:rPr>
      </w:pPr>
      <w:proofErr w:type="spellStart"/>
      <w:r w:rsidRPr="006023BB">
        <w:rPr>
          <w:rFonts w:asciiTheme="minorHAnsi" w:hAnsiTheme="minorHAnsi"/>
          <w:color w:val="auto"/>
          <w:sz w:val="22"/>
          <w:szCs w:val="22"/>
          <w:u w:val="single"/>
        </w:rPr>
        <w:t>Utazási</w:t>
      </w:r>
      <w:proofErr w:type="spellEnd"/>
      <w:r w:rsidRPr="006023BB">
        <w:rPr>
          <w:rFonts w:asciiTheme="minorHAnsi" w:hAnsiTheme="minorHAnsi"/>
          <w:color w:val="auto"/>
          <w:sz w:val="22"/>
          <w:szCs w:val="22"/>
          <w:u w:val="single"/>
        </w:rPr>
        <w:t xml:space="preserve"> </w:t>
      </w:r>
      <w:proofErr w:type="spellStart"/>
      <w:r w:rsidRPr="006023BB">
        <w:rPr>
          <w:rFonts w:asciiTheme="minorHAnsi" w:hAnsiTheme="minorHAnsi"/>
          <w:color w:val="auto"/>
          <w:sz w:val="22"/>
          <w:szCs w:val="22"/>
          <w:u w:val="single"/>
        </w:rPr>
        <w:t>támogatás</w:t>
      </w:r>
      <w:proofErr w:type="spellEnd"/>
      <w:r w:rsidRPr="000027DA">
        <w:rPr>
          <w:rFonts w:asciiTheme="minorHAnsi" w:hAnsiTheme="minorHAnsi"/>
          <w:color w:val="auto"/>
          <w:sz w:val="22"/>
          <w:szCs w:val="22"/>
        </w:rPr>
        <w:t xml:space="preserve"> </w:t>
      </w:r>
      <w:proofErr w:type="spellStart"/>
      <w:r w:rsidRPr="000027DA">
        <w:rPr>
          <w:rFonts w:asciiTheme="minorHAnsi" w:hAnsiTheme="minorHAnsi"/>
          <w:color w:val="auto"/>
          <w:sz w:val="22"/>
          <w:szCs w:val="22"/>
        </w:rPr>
        <w:t>távolság</w:t>
      </w:r>
      <w:proofErr w:type="spellEnd"/>
      <w:r w:rsidRPr="000027DA">
        <w:rPr>
          <w:rFonts w:asciiTheme="minorHAnsi" w:hAnsiTheme="minorHAnsi"/>
          <w:color w:val="auto"/>
          <w:sz w:val="22"/>
          <w:szCs w:val="22"/>
        </w:rPr>
        <w:t xml:space="preserve"> </w:t>
      </w:r>
      <w:proofErr w:type="spellStart"/>
      <w:r>
        <w:rPr>
          <w:rFonts w:asciiTheme="minorHAnsi" w:hAnsiTheme="minorHAnsi"/>
          <w:color w:val="auto"/>
          <w:sz w:val="22"/>
          <w:szCs w:val="22"/>
        </w:rPr>
        <w:t>alapján</w:t>
      </w:r>
      <w:proofErr w:type="spellEnd"/>
      <w:r w:rsidRPr="000027DA">
        <w:rPr>
          <w:rFonts w:asciiTheme="minorHAnsi" w:hAnsiTheme="minorHAnsi"/>
          <w:color w:val="auto"/>
          <w:sz w:val="22"/>
          <w:szCs w:val="22"/>
        </w:rPr>
        <w:t>:</w:t>
      </w:r>
    </w:p>
    <w:p w:rsidR="006023BB" w:rsidRDefault="006023BB" w:rsidP="006023BB">
      <w:pPr>
        <w:pStyle w:val="Bullet-Dot"/>
        <w:numPr>
          <w:ilvl w:val="0"/>
          <w:numId w:val="0"/>
        </w:numPr>
        <w:ind w:left="935" w:hanging="227"/>
        <w:rPr>
          <w:rFonts w:asciiTheme="minorHAnsi" w:hAnsiTheme="minorHAnsi"/>
          <w:color w:val="auto"/>
          <w:sz w:val="22"/>
          <w:szCs w:val="22"/>
        </w:rPr>
      </w:pPr>
    </w:p>
    <w:tbl>
      <w:tblPr>
        <w:tblStyle w:val="Rcsostblzat"/>
        <w:tblpPr w:leftFromText="142" w:rightFromText="142" w:vertAnchor="text" w:horzAnchor="margin" w:tblpXSpec="center" w:tblpY="35"/>
        <w:tblOverlap w:val="never"/>
        <w:tblW w:w="0" w:type="auto"/>
        <w:tblLook w:val="04A0" w:firstRow="1" w:lastRow="0" w:firstColumn="1" w:lastColumn="0" w:noHBand="0" w:noVBand="1"/>
      </w:tblPr>
      <w:tblGrid>
        <w:gridCol w:w="2310"/>
        <w:gridCol w:w="861"/>
      </w:tblGrid>
      <w:tr w:rsidR="006023BB" w:rsidRPr="000027DA" w:rsidTr="006023BB">
        <w:tc>
          <w:tcPr>
            <w:tcW w:w="2310" w:type="dxa"/>
            <w:vAlign w:val="center"/>
          </w:tcPr>
          <w:p w:rsidR="006023BB" w:rsidRPr="000027DA" w:rsidRDefault="006023BB" w:rsidP="006023BB">
            <w:pPr>
              <w:pStyle w:val="NormlWeb"/>
              <w:spacing w:before="0" w:beforeAutospacing="0" w:after="0" w:afterAutospacing="0"/>
              <w:rPr>
                <w:rFonts w:ascii="Arial" w:hAnsi="Arial" w:cs="Arial"/>
                <w:sz w:val="36"/>
                <w:szCs w:val="36"/>
              </w:rPr>
            </w:pPr>
            <w:r w:rsidRPr="000027DA">
              <w:rPr>
                <w:kern w:val="24"/>
                <w:sz w:val="22"/>
                <w:szCs w:val="22"/>
              </w:rPr>
              <w:t>100 – 499 km</w:t>
            </w:r>
          </w:p>
        </w:tc>
        <w:tc>
          <w:tcPr>
            <w:tcW w:w="861" w:type="dxa"/>
            <w:vAlign w:val="center"/>
          </w:tcPr>
          <w:p w:rsidR="006023BB" w:rsidRPr="000027DA" w:rsidRDefault="006023BB" w:rsidP="006023BB">
            <w:pPr>
              <w:pStyle w:val="NormlWeb"/>
              <w:spacing w:before="0" w:beforeAutospacing="0" w:after="0" w:afterAutospacing="0"/>
              <w:jc w:val="right"/>
              <w:rPr>
                <w:rFonts w:ascii="Arial" w:hAnsi="Arial" w:cs="Arial"/>
                <w:sz w:val="36"/>
                <w:szCs w:val="36"/>
              </w:rPr>
            </w:pPr>
            <w:r w:rsidRPr="000027DA">
              <w:rPr>
                <w:kern w:val="24"/>
                <w:sz w:val="22"/>
                <w:szCs w:val="22"/>
              </w:rPr>
              <w:t xml:space="preserve">180 </w:t>
            </w:r>
            <w:r w:rsidRPr="000027DA">
              <w:rPr>
                <w:rFonts w:cs="Calibri"/>
                <w:kern w:val="24"/>
                <w:sz w:val="22"/>
                <w:szCs w:val="22"/>
              </w:rPr>
              <w:t>€</w:t>
            </w:r>
            <w:r w:rsidRPr="000027DA">
              <w:rPr>
                <w:kern w:val="24"/>
                <w:sz w:val="22"/>
                <w:szCs w:val="22"/>
              </w:rPr>
              <w:t xml:space="preserve"> </w:t>
            </w:r>
          </w:p>
        </w:tc>
      </w:tr>
      <w:tr w:rsidR="006023BB" w:rsidRPr="000027DA" w:rsidTr="006023BB">
        <w:tc>
          <w:tcPr>
            <w:tcW w:w="2310" w:type="dxa"/>
            <w:vAlign w:val="center"/>
          </w:tcPr>
          <w:p w:rsidR="006023BB" w:rsidRPr="000027DA" w:rsidRDefault="006023BB" w:rsidP="006023BB">
            <w:pPr>
              <w:pStyle w:val="NormlWeb"/>
              <w:spacing w:before="0" w:beforeAutospacing="0" w:after="0" w:afterAutospacing="0"/>
              <w:rPr>
                <w:rFonts w:ascii="Arial" w:hAnsi="Arial" w:cs="Arial"/>
                <w:sz w:val="36"/>
                <w:szCs w:val="36"/>
              </w:rPr>
            </w:pPr>
            <w:r w:rsidRPr="000027DA">
              <w:rPr>
                <w:kern w:val="24"/>
                <w:sz w:val="22"/>
                <w:szCs w:val="22"/>
              </w:rPr>
              <w:t>500 – 1 999 km</w:t>
            </w:r>
          </w:p>
        </w:tc>
        <w:tc>
          <w:tcPr>
            <w:tcW w:w="861" w:type="dxa"/>
            <w:vAlign w:val="center"/>
          </w:tcPr>
          <w:p w:rsidR="006023BB" w:rsidRPr="000027DA" w:rsidRDefault="006023BB" w:rsidP="006023BB">
            <w:pPr>
              <w:pStyle w:val="NormlWeb"/>
              <w:spacing w:before="0" w:beforeAutospacing="0" w:after="0" w:afterAutospacing="0"/>
              <w:jc w:val="right"/>
              <w:rPr>
                <w:rFonts w:ascii="Arial" w:hAnsi="Arial" w:cs="Arial"/>
                <w:sz w:val="36"/>
                <w:szCs w:val="36"/>
              </w:rPr>
            </w:pPr>
            <w:r w:rsidRPr="000027DA">
              <w:rPr>
                <w:kern w:val="24"/>
                <w:sz w:val="22"/>
                <w:szCs w:val="22"/>
              </w:rPr>
              <w:t xml:space="preserve">275 </w:t>
            </w:r>
            <w:r w:rsidRPr="000027DA">
              <w:rPr>
                <w:rFonts w:cs="Calibri"/>
                <w:kern w:val="24"/>
                <w:sz w:val="22"/>
                <w:szCs w:val="22"/>
              </w:rPr>
              <w:t>€</w:t>
            </w:r>
          </w:p>
        </w:tc>
      </w:tr>
      <w:tr w:rsidR="006023BB" w:rsidRPr="000027DA" w:rsidTr="006023BB">
        <w:tc>
          <w:tcPr>
            <w:tcW w:w="2310" w:type="dxa"/>
            <w:vAlign w:val="center"/>
          </w:tcPr>
          <w:p w:rsidR="006023BB" w:rsidRPr="000027DA" w:rsidRDefault="006023BB" w:rsidP="006023BB">
            <w:pPr>
              <w:pStyle w:val="NormlWeb"/>
              <w:spacing w:before="0" w:beforeAutospacing="0" w:after="0" w:afterAutospacing="0"/>
              <w:rPr>
                <w:rFonts w:ascii="Arial" w:hAnsi="Arial" w:cs="Arial"/>
                <w:sz w:val="36"/>
                <w:szCs w:val="36"/>
              </w:rPr>
            </w:pPr>
            <w:r w:rsidRPr="000027DA">
              <w:rPr>
                <w:kern w:val="24"/>
                <w:sz w:val="22"/>
                <w:szCs w:val="22"/>
              </w:rPr>
              <w:t>2 000 – 2 999 km</w:t>
            </w:r>
          </w:p>
        </w:tc>
        <w:tc>
          <w:tcPr>
            <w:tcW w:w="861" w:type="dxa"/>
            <w:vAlign w:val="center"/>
          </w:tcPr>
          <w:p w:rsidR="006023BB" w:rsidRPr="000027DA" w:rsidRDefault="006023BB" w:rsidP="006023BB">
            <w:pPr>
              <w:pStyle w:val="NormlWeb"/>
              <w:spacing w:before="0" w:beforeAutospacing="0" w:after="0" w:afterAutospacing="0"/>
              <w:jc w:val="right"/>
              <w:rPr>
                <w:rFonts w:ascii="Arial" w:hAnsi="Arial" w:cs="Arial"/>
                <w:sz w:val="36"/>
                <w:szCs w:val="36"/>
              </w:rPr>
            </w:pPr>
            <w:r w:rsidRPr="000027DA">
              <w:rPr>
                <w:kern w:val="24"/>
                <w:sz w:val="22"/>
                <w:szCs w:val="22"/>
              </w:rPr>
              <w:t xml:space="preserve">360 </w:t>
            </w:r>
            <w:r w:rsidRPr="000027DA">
              <w:rPr>
                <w:rFonts w:cs="Calibri"/>
                <w:kern w:val="24"/>
                <w:sz w:val="22"/>
                <w:szCs w:val="22"/>
              </w:rPr>
              <w:t>€</w:t>
            </w:r>
          </w:p>
        </w:tc>
      </w:tr>
      <w:tr w:rsidR="006023BB" w:rsidRPr="000027DA" w:rsidTr="006023BB">
        <w:tc>
          <w:tcPr>
            <w:tcW w:w="2310" w:type="dxa"/>
            <w:vAlign w:val="center"/>
          </w:tcPr>
          <w:p w:rsidR="006023BB" w:rsidRPr="000027DA" w:rsidRDefault="006023BB" w:rsidP="006023BB">
            <w:pPr>
              <w:pStyle w:val="NormlWeb"/>
              <w:spacing w:before="0" w:beforeAutospacing="0" w:after="0" w:afterAutospacing="0"/>
              <w:rPr>
                <w:rFonts w:ascii="Arial" w:hAnsi="Arial" w:cs="Arial"/>
                <w:sz w:val="36"/>
                <w:szCs w:val="36"/>
              </w:rPr>
            </w:pPr>
            <w:r w:rsidRPr="000027DA">
              <w:rPr>
                <w:kern w:val="24"/>
                <w:sz w:val="22"/>
                <w:szCs w:val="22"/>
              </w:rPr>
              <w:t>3 000 – 3 999 km</w:t>
            </w:r>
          </w:p>
        </w:tc>
        <w:tc>
          <w:tcPr>
            <w:tcW w:w="861" w:type="dxa"/>
            <w:vAlign w:val="center"/>
          </w:tcPr>
          <w:p w:rsidR="006023BB" w:rsidRPr="000027DA" w:rsidRDefault="006023BB" w:rsidP="006023BB">
            <w:pPr>
              <w:pStyle w:val="NormlWeb"/>
              <w:spacing w:before="0" w:beforeAutospacing="0" w:after="0" w:afterAutospacing="0"/>
              <w:jc w:val="right"/>
              <w:rPr>
                <w:rFonts w:ascii="Arial" w:hAnsi="Arial" w:cs="Arial"/>
                <w:sz w:val="36"/>
                <w:szCs w:val="36"/>
              </w:rPr>
            </w:pPr>
            <w:r w:rsidRPr="000027DA">
              <w:rPr>
                <w:kern w:val="24"/>
                <w:sz w:val="22"/>
                <w:szCs w:val="22"/>
              </w:rPr>
              <w:t xml:space="preserve">530 </w:t>
            </w:r>
            <w:r w:rsidRPr="000027DA">
              <w:rPr>
                <w:rFonts w:cs="Calibri"/>
                <w:kern w:val="24"/>
                <w:sz w:val="22"/>
                <w:szCs w:val="22"/>
              </w:rPr>
              <w:t>€</w:t>
            </w:r>
          </w:p>
        </w:tc>
      </w:tr>
      <w:tr w:rsidR="006023BB" w:rsidRPr="000027DA" w:rsidTr="006023BB">
        <w:tc>
          <w:tcPr>
            <w:tcW w:w="2310" w:type="dxa"/>
            <w:vAlign w:val="center"/>
          </w:tcPr>
          <w:p w:rsidR="006023BB" w:rsidRPr="000027DA" w:rsidRDefault="006023BB" w:rsidP="006023BB">
            <w:pPr>
              <w:pStyle w:val="NormlWeb"/>
              <w:spacing w:before="0" w:beforeAutospacing="0" w:after="0" w:afterAutospacing="0"/>
              <w:rPr>
                <w:rFonts w:ascii="Arial" w:hAnsi="Arial" w:cs="Arial"/>
                <w:sz w:val="36"/>
                <w:szCs w:val="36"/>
              </w:rPr>
            </w:pPr>
            <w:r w:rsidRPr="000027DA">
              <w:rPr>
                <w:kern w:val="24"/>
                <w:sz w:val="22"/>
                <w:szCs w:val="22"/>
              </w:rPr>
              <w:t>4 000 – 7 999 km</w:t>
            </w:r>
          </w:p>
        </w:tc>
        <w:tc>
          <w:tcPr>
            <w:tcW w:w="861" w:type="dxa"/>
            <w:vAlign w:val="center"/>
          </w:tcPr>
          <w:p w:rsidR="006023BB" w:rsidRPr="000027DA" w:rsidRDefault="006023BB" w:rsidP="006023BB">
            <w:pPr>
              <w:pStyle w:val="NormlWeb"/>
              <w:spacing w:before="0" w:beforeAutospacing="0" w:after="0" w:afterAutospacing="0"/>
              <w:jc w:val="right"/>
              <w:rPr>
                <w:rFonts w:ascii="Arial" w:hAnsi="Arial" w:cs="Arial"/>
                <w:sz w:val="36"/>
                <w:szCs w:val="36"/>
              </w:rPr>
            </w:pPr>
            <w:r w:rsidRPr="000027DA">
              <w:rPr>
                <w:kern w:val="24"/>
                <w:sz w:val="22"/>
                <w:szCs w:val="22"/>
              </w:rPr>
              <w:t xml:space="preserve">820 </w:t>
            </w:r>
            <w:r w:rsidRPr="000027DA">
              <w:rPr>
                <w:rFonts w:cs="Calibri"/>
                <w:kern w:val="24"/>
                <w:sz w:val="22"/>
                <w:szCs w:val="22"/>
              </w:rPr>
              <w:t>€</w:t>
            </w:r>
          </w:p>
        </w:tc>
      </w:tr>
      <w:tr w:rsidR="006023BB" w:rsidRPr="000027DA" w:rsidTr="006023BB">
        <w:tc>
          <w:tcPr>
            <w:tcW w:w="2310" w:type="dxa"/>
            <w:vAlign w:val="center"/>
          </w:tcPr>
          <w:p w:rsidR="006023BB" w:rsidRPr="000027DA" w:rsidRDefault="006023BB" w:rsidP="006023BB">
            <w:pPr>
              <w:pStyle w:val="NormlWeb"/>
              <w:spacing w:before="0" w:beforeAutospacing="0" w:after="0" w:afterAutospacing="0"/>
              <w:rPr>
                <w:rFonts w:ascii="Arial" w:hAnsi="Arial" w:cs="Arial"/>
                <w:sz w:val="36"/>
                <w:szCs w:val="36"/>
              </w:rPr>
            </w:pPr>
            <w:r w:rsidRPr="000027DA">
              <w:rPr>
                <w:kern w:val="24"/>
                <w:sz w:val="22"/>
                <w:szCs w:val="22"/>
              </w:rPr>
              <w:t>8 000 – 19 999 km</w:t>
            </w:r>
          </w:p>
        </w:tc>
        <w:tc>
          <w:tcPr>
            <w:tcW w:w="861" w:type="dxa"/>
            <w:vAlign w:val="center"/>
          </w:tcPr>
          <w:p w:rsidR="006023BB" w:rsidRPr="000027DA" w:rsidRDefault="006023BB" w:rsidP="006023BB">
            <w:pPr>
              <w:pStyle w:val="NormlWeb"/>
              <w:spacing w:before="0" w:beforeAutospacing="0" w:after="0" w:afterAutospacing="0"/>
              <w:jc w:val="right"/>
              <w:rPr>
                <w:rFonts w:ascii="Arial" w:hAnsi="Arial" w:cs="Arial"/>
                <w:sz w:val="36"/>
                <w:szCs w:val="36"/>
              </w:rPr>
            </w:pPr>
            <w:r w:rsidRPr="000027DA">
              <w:rPr>
                <w:kern w:val="24"/>
                <w:sz w:val="22"/>
                <w:szCs w:val="22"/>
              </w:rPr>
              <w:t xml:space="preserve">1100 </w:t>
            </w:r>
            <w:r w:rsidRPr="000027DA">
              <w:rPr>
                <w:rFonts w:cs="Calibri"/>
                <w:kern w:val="24"/>
                <w:sz w:val="22"/>
                <w:szCs w:val="22"/>
              </w:rPr>
              <w:t>€</w:t>
            </w:r>
          </w:p>
        </w:tc>
      </w:tr>
    </w:tbl>
    <w:p w:rsidR="006023BB" w:rsidRDefault="006023BB" w:rsidP="004B0244">
      <w:pPr>
        <w:pStyle w:val="Listaszerbekezds"/>
        <w:ind w:left="1440"/>
      </w:pPr>
    </w:p>
    <w:p w:rsidR="006023BB" w:rsidRDefault="006023BB" w:rsidP="004B0244">
      <w:pPr>
        <w:pStyle w:val="Listaszerbekezds"/>
        <w:ind w:left="1440"/>
      </w:pPr>
    </w:p>
    <w:p w:rsidR="006023BB" w:rsidRDefault="006023BB" w:rsidP="004B0244">
      <w:pPr>
        <w:pStyle w:val="Listaszerbekezds"/>
        <w:ind w:left="1440"/>
      </w:pPr>
    </w:p>
    <w:p w:rsidR="006023BB" w:rsidRDefault="006023BB" w:rsidP="004B0244">
      <w:pPr>
        <w:pStyle w:val="Listaszerbekezds"/>
        <w:ind w:left="1440"/>
      </w:pPr>
    </w:p>
    <w:p w:rsidR="006023BB" w:rsidRDefault="006023BB" w:rsidP="004B0244">
      <w:pPr>
        <w:pStyle w:val="Listaszerbekezds"/>
        <w:ind w:left="1440"/>
      </w:pPr>
    </w:p>
    <w:p w:rsidR="006023BB" w:rsidRDefault="006023BB" w:rsidP="004B0244">
      <w:pPr>
        <w:pStyle w:val="Listaszerbekezds"/>
        <w:ind w:left="1440"/>
      </w:pPr>
    </w:p>
    <w:p w:rsidR="00CA2896" w:rsidRPr="008F712C" w:rsidRDefault="00CA2896" w:rsidP="00CA2896">
      <w:pPr>
        <w:pStyle w:val="Listaszerbekezds"/>
        <w:numPr>
          <w:ilvl w:val="0"/>
          <w:numId w:val="1"/>
        </w:numPr>
        <w:jc w:val="both"/>
        <w:rPr>
          <w:b/>
        </w:rPr>
      </w:pPr>
      <w:r w:rsidRPr="008F712C">
        <w:rPr>
          <w:b/>
        </w:rPr>
        <w:t>A pályázás menete</w:t>
      </w:r>
    </w:p>
    <w:p w:rsidR="006023BB" w:rsidRPr="003E3892" w:rsidRDefault="006023BB" w:rsidP="006023BB">
      <w:pPr>
        <w:pStyle w:val="Listaszerbekezds"/>
        <w:numPr>
          <w:ilvl w:val="0"/>
          <w:numId w:val="15"/>
        </w:numPr>
        <w:jc w:val="both"/>
      </w:pPr>
      <w:r>
        <w:t>A mobilitási pályázatot a</w:t>
      </w:r>
      <w:r w:rsidR="00A327C2">
        <w:t xml:space="preserve"> munkatárs </w:t>
      </w:r>
      <w:r>
        <w:t>intézménye hirdeti meg és bírálja el az általános kritériumok alapján.</w:t>
      </w:r>
    </w:p>
    <w:p w:rsidR="00CA2896" w:rsidRDefault="00CA2896" w:rsidP="00CA2896">
      <w:pPr>
        <w:pStyle w:val="Listaszerbekezds"/>
        <w:jc w:val="both"/>
      </w:pPr>
    </w:p>
    <w:sectPr w:rsidR="00CA2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177639"/>
    <w:multiLevelType w:val="hybridMultilevel"/>
    <w:tmpl w:val="5A62E4D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EEE7117"/>
    <w:multiLevelType w:val="hybridMultilevel"/>
    <w:tmpl w:val="C19E50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14856750"/>
    <w:multiLevelType w:val="hybridMultilevel"/>
    <w:tmpl w:val="63D8E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9916451"/>
    <w:multiLevelType w:val="multilevel"/>
    <w:tmpl w:val="6C82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A5043"/>
    <w:multiLevelType w:val="hybridMultilevel"/>
    <w:tmpl w:val="F8DA59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EA2276"/>
    <w:multiLevelType w:val="hybridMultilevel"/>
    <w:tmpl w:val="F92CA82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37C40A86"/>
    <w:multiLevelType w:val="hybridMultilevel"/>
    <w:tmpl w:val="F40883FC"/>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8">
    <w:nsid w:val="446048AE"/>
    <w:multiLevelType w:val="hybridMultilevel"/>
    <w:tmpl w:val="027482BA"/>
    <w:lvl w:ilvl="0" w:tplc="08090005">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ind w:left="200" w:hanging="360"/>
      </w:pPr>
      <w:rPr>
        <w:rFonts w:ascii="Courier New" w:hAnsi="Courier New" w:cs="Courier New" w:hint="default"/>
      </w:rPr>
    </w:lvl>
    <w:lvl w:ilvl="2" w:tplc="040E0005" w:tentative="1">
      <w:start w:val="1"/>
      <w:numFmt w:val="bullet"/>
      <w:lvlText w:val=""/>
      <w:lvlJc w:val="left"/>
      <w:pPr>
        <w:ind w:left="920" w:hanging="360"/>
      </w:pPr>
      <w:rPr>
        <w:rFonts w:ascii="Wingdings" w:hAnsi="Wingdings" w:hint="default"/>
      </w:rPr>
    </w:lvl>
    <w:lvl w:ilvl="3" w:tplc="040E0001" w:tentative="1">
      <w:start w:val="1"/>
      <w:numFmt w:val="bullet"/>
      <w:lvlText w:val=""/>
      <w:lvlJc w:val="left"/>
      <w:pPr>
        <w:ind w:left="1640" w:hanging="360"/>
      </w:pPr>
      <w:rPr>
        <w:rFonts w:ascii="Symbol" w:hAnsi="Symbol" w:hint="default"/>
      </w:rPr>
    </w:lvl>
    <w:lvl w:ilvl="4" w:tplc="040E0003" w:tentative="1">
      <w:start w:val="1"/>
      <w:numFmt w:val="bullet"/>
      <w:lvlText w:val="o"/>
      <w:lvlJc w:val="left"/>
      <w:pPr>
        <w:ind w:left="2360" w:hanging="360"/>
      </w:pPr>
      <w:rPr>
        <w:rFonts w:ascii="Courier New" w:hAnsi="Courier New" w:cs="Courier New" w:hint="default"/>
      </w:rPr>
    </w:lvl>
    <w:lvl w:ilvl="5" w:tplc="040E0005" w:tentative="1">
      <w:start w:val="1"/>
      <w:numFmt w:val="bullet"/>
      <w:lvlText w:val=""/>
      <w:lvlJc w:val="left"/>
      <w:pPr>
        <w:ind w:left="3080" w:hanging="360"/>
      </w:pPr>
      <w:rPr>
        <w:rFonts w:ascii="Wingdings" w:hAnsi="Wingdings" w:hint="default"/>
      </w:rPr>
    </w:lvl>
    <w:lvl w:ilvl="6" w:tplc="040E0001" w:tentative="1">
      <w:start w:val="1"/>
      <w:numFmt w:val="bullet"/>
      <w:lvlText w:val=""/>
      <w:lvlJc w:val="left"/>
      <w:pPr>
        <w:ind w:left="3800" w:hanging="360"/>
      </w:pPr>
      <w:rPr>
        <w:rFonts w:ascii="Symbol" w:hAnsi="Symbol" w:hint="default"/>
      </w:rPr>
    </w:lvl>
    <w:lvl w:ilvl="7" w:tplc="040E0003" w:tentative="1">
      <w:start w:val="1"/>
      <w:numFmt w:val="bullet"/>
      <w:lvlText w:val="o"/>
      <w:lvlJc w:val="left"/>
      <w:pPr>
        <w:ind w:left="4520" w:hanging="360"/>
      </w:pPr>
      <w:rPr>
        <w:rFonts w:ascii="Courier New" w:hAnsi="Courier New" w:cs="Courier New" w:hint="default"/>
      </w:rPr>
    </w:lvl>
    <w:lvl w:ilvl="8" w:tplc="040E0005" w:tentative="1">
      <w:start w:val="1"/>
      <w:numFmt w:val="bullet"/>
      <w:lvlText w:val=""/>
      <w:lvlJc w:val="left"/>
      <w:pPr>
        <w:ind w:left="5240" w:hanging="360"/>
      </w:pPr>
      <w:rPr>
        <w:rFonts w:ascii="Wingdings" w:hAnsi="Wingdings" w:hint="default"/>
      </w:rPr>
    </w:lvl>
  </w:abstractNum>
  <w:abstractNum w:abstractNumId="9">
    <w:nsid w:val="53523C41"/>
    <w:multiLevelType w:val="hybridMultilevel"/>
    <w:tmpl w:val="79A6480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560E249E"/>
    <w:multiLevelType w:val="hybridMultilevel"/>
    <w:tmpl w:val="D23AA4AA"/>
    <w:lvl w:ilvl="0" w:tplc="040E0001">
      <w:start w:val="1"/>
      <w:numFmt w:val="bullet"/>
      <w:lvlText w:val=""/>
      <w:lvlJc w:val="left"/>
      <w:pPr>
        <w:ind w:left="880" w:hanging="360"/>
      </w:pPr>
      <w:rPr>
        <w:rFonts w:ascii="Symbol" w:hAnsi="Symbol" w:hint="default"/>
      </w:rPr>
    </w:lvl>
    <w:lvl w:ilvl="1" w:tplc="040E0003" w:tentative="1">
      <w:start w:val="1"/>
      <w:numFmt w:val="bullet"/>
      <w:lvlText w:val="o"/>
      <w:lvlJc w:val="left"/>
      <w:pPr>
        <w:ind w:left="1600" w:hanging="360"/>
      </w:pPr>
      <w:rPr>
        <w:rFonts w:ascii="Courier New" w:hAnsi="Courier New" w:cs="Courier New" w:hint="default"/>
      </w:rPr>
    </w:lvl>
    <w:lvl w:ilvl="2" w:tplc="040E0005" w:tentative="1">
      <w:start w:val="1"/>
      <w:numFmt w:val="bullet"/>
      <w:lvlText w:val=""/>
      <w:lvlJc w:val="left"/>
      <w:pPr>
        <w:ind w:left="2320" w:hanging="360"/>
      </w:pPr>
      <w:rPr>
        <w:rFonts w:ascii="Wingdings" w:hAnsi="Wingdings" w:hint="default"/>
      </w:rPr>
    </w:lvl>
    <w:lvl w:ilvl="3" w:tplc="040E0001" w:tentative="1">
      <w:start w:val="1"/>
      <w:numFmt w:val="bullet"/>
      <w:lvlText w:val=""/>
      <w:lvlJc w:val="left"/>
      <w:pPr>
        <w:ind w:left="3040" w:hanging="360"/>
      </w:pPr>
      <w:rPr>
        <w:rFonts w:ascii="Symbol" w:hAnsi="Symbol" w:hint="default"/>
      </w:rPr>
    </w:lvl>
    <w:lvl w:ilvl="4" w:tplc="040E0003" w:tentative="1">
      <w:start w:val="1"/>
      <w:numFmt w:val="bullet"/>
      <w:lvlText w:val="o"/>
      <w:lvlJc w:val="left"/>
      <w:pPr>
        <w:ind w:left="3760" w:hanging="360"/>
      </w:pPr>
      <w:rPr>
        <w:rFonts w:ascii="Courier New" w:hAnsi="Courier New" w:cs="Courier New" w:hint="default"/>
      </w:rPr>
    </w:lvl>
    <w:lvl w:ilvl="5" w:tplc="040E0005" w:tentative="1">
      <w:start w:val="1"/>
      <w:numFmt w:val="bullet"/>
      <w:lvlText w:val=""/>
      <w:lvlJc w:val="left"/>
      <w:pPr>
        <w:ind w:left="4480" w:hanging="360"/>
      </w:pPr>
      <w:rPr>
        <w:rFonts w:ascii="Wingdings" w:hAnsi="Wingdings" w:hint="default"/>
      </w:rPr>
    </w:lvl>
    <w:lvl w:ilvl="6" w:tplc="040E0001" w:tentative="1">
      <w:start w:val="1"/>
      <w:numFmt w:val="bullet"/>
      <w:lvlText w:val=""/>
      <w:lvlJc w:val="left"/>
      <w:pPr>
        <w:ind w:left="5200" w:hanging="360"/>
      </w:pPr>
      <w:rPr>
        <w:rFonts w:ascii="Symbol" w:hAnsi="Symbol" w:hint="default"/>
      </w:rPr>
    </w:lvl>
    <w:lvl w:ilvl="7" w:tplc="040E0003" w:tentative="1">
      <w:start w:val="1"/>
      <w:numFmt w:val="bullet"/>
      <w:lvlText w:val="o"/>
      <w:lvlJc w:val="left"/>
      <w:pPr>
        <w:ind w:left="5920" w:hanging="360"/>
      </w:pPr>
      <w:rPr>
        <w:rFonts w:ascii="Courier New" w:hAnsi="Courier New" w:cs="Courier New" w:hint="default"/>
      </w:rPr>
    </w:lvl>
    <w:lvl w:ilvl="8" w:tplc="040E0005" w:tentative="1">
      <w:start w:val="1"/>
      <w:numFmt w:val="bullet"/>
      <w:lvlText w:val=""/>
      <w:lvlJc w:val="left"/>
      <w:pPr>
        <w:ind w:left="6640" w:hanging="360"/>
      </w:pPr>
      <w:rPr>
        <w:rFonts w:ascii="Wingdings" w:hAnsi="Wingdings" w:hint="default"/>
      </w:rPr>
    </w:lvl>
  </w:abstractNum>
  <w:abstractNum w:abstractNumId="11">
    <w:nsid w:val="596005C6"/>
    <w:multiLevelType w:val="hybridMultilevel"/>
    <w:tmpl w:val="72F20688"/>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61F11816"/>
    <w:multiLevelType w:val="hybridMultilevel"/>
    <w:tmpl w:val="53A2E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EA20EC3"/>
    <w:multiLevelType w:val="hybridMultilevel"/>
    <w:tmpl w:val="FEE2E818"/>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nsid w:val="6FD17276"/>
    <w:multiLevelType w:val="hybridMultilevel"/>
    <w:tmpl w:val="AFD28C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4"/>
  </w:num>
  <w:num w:numId="4">
    <w:abstractNumId w:val="7"/>
  </w:num>
  <w:num w:numId="5">
    <w:abstractNumId w:val="0"/>
  </w:num>
  <w:num w:numId="6">
    <w:abstractNumId w:val="2"/>
  </w:num>
  <w:num w:numId="7">
    <w:abstractNumId w:val="1"/>
  </w:num>
  <w:num w:numId="8">
    <w:abstractNumId w:val="11"/>
  </w:num>
  <w:num w:numId="9">
    <w:abstractNumId w:val="12"/>
  </w:num>
  <w:num w:numId="10">
    <w:abstractNumId w:val="6"/>
  </w:num>
  <w:num w:numId="11">
    <w:abstractNumId w:val="9"/>
  </w:num>
  <w:num w:numId="12">
    <w:abstractNumId w:val="3"/>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E4"/>
    <w:rsid w:val="000027DA"/>
    <w:rsid w:val="00094C18"/>
    <w:rsid w:val="000A3E9C"/>
    <w:rsid w:val="00113DFF"/>
    <w:rsid w:val="00143DC0"/>
    <w:rsid w:val="001D0ADC"/>
    <w:rsid w:val="002037D8"/>
    <w:rsid w:val="00207B2C"/>
    <w:rsid w:val="0023437E"/>
    <w:rsid w:val="003250F5"/>
    <w:rsid w:val="003462CA"/>
    <w:rsid w:val="003E3FA8"/>
    <w:rsid w:val="003F1C39"/>
    <w:rsid w:val="00436EF1"/>
    <w:rsid w:val="0048706E"/>
    <w:rsid w:val="00496FF8"/>
    <w:rsid w:val="004B0244"/>
    <w:rsid w:val="00530E46"/>
    <w:rsid w:val="00564D2D"/>
    <w:rsid w:val="00600A66"/>
    <w:rsid w:val="006023BB"/>
    <w:rsid w:val="0065365C"/>
    <w:rsid w:val="006B02A3"/>
    <w:rsid w:val="007223C8"/>
    <w:rsid w:val="00757251"/>
    <w:rsid w:val="007B723A"/>
    <w:rsid w:val="00851FED"/>
    <w:rsid w:val="00854ED3"/>
    <w:rsid w:val="008F2A21"/>
    <w:rsid w:val="0092222D"/>
    <w:rsid w:val="00990814"/>
    <w:rsid w:val="009A071B"/>
    <w:rsid w:val="009A40B0"/>
    <w:rsid w:val="009A694E"/>
    <w:rsid w:val="00A327C2"/>
    <w:rsid w:val="00B767E2"/>
    <w:rsid w:val="00BA45E4"/>
    <w:rsid w:val="00BB549B"/>
    <w:rsid w:val="00BE284F"/>
    <w:rsid w:val="00C22A38"/>
    <w:rsid w:val="00C33343"/>
    <w:rsid w:val="00C96652"/>
    <w:rsid w:val="00CA2896"/>
    <w:rsid w:val="00CE7BC4"/>
    <w:rsid w:val="00D05F5B"/>
    <w:rsid w:val="00D2668C"/>
    <w:rsid w:val="00EA3C0C"/>
    <w:rsid w:val="00ED0482"/>
    <w:rsid w:val="00ED3894"/>
    <w:rsid w:val="00EE2BCA"/>
    <w:rsid w:val="00F91048"/>
    <w:rsid w:val="00FC4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45E4"/>
    <w:pPr>
      <w:ind w:left="720"/>
      <w:contextualSpacing/>
    </w:pPr>
  </w:style>
  <w:style w:type="character" w:styleId="Hiperhivatkozs">
    <w:name w:val="Hyperlink"/>
    <w:basedOn w:val="Bekezdsalapbettpusa"/>
    <w:uiPriority w:val="99"/>
    <w:unhideWhenUsed/>
    <w:rsid w:val="00564D2D"/>
    <w:rPr>
      <w:color w:val="0000FF" w:themeColor="hyperlink"/>
      <w:u w:val="single"/>
    </w:rPr>
  </w:style>
  <w:style w:type="paragraph" w:customStyle="1" w:styleId="Bullet-Dot">
    <w:name w:val="Bullet-Dot"/>
    <w:basedOn w:val="Norml"/>
    <w:rsid w:val="000A3E9C"/>
    <w:pPr>
      <w:numPr>
        <w:numId w:val="4"/>
      </w:numPr>
      <w:spacing w:after="0" w:line="240" w:lineRule="auto"/>
    </w:pPr>
    <w:rPr>
      <w:rFonts w:ascii="Verdana" w:eastAsia="Times New Roman" w:hAnsi="Verdana" w:cs="Times New Roman"/>
      <w:color w:val="000080"/>
      <w:sz w:val="16"/>
      <w:szCs w:val="16"/>
      <w:lang w:val="en-GB" w:eastAsia="en-GB"/>
    </w:rPr>
  </w:style>
  <w:style w:type="character" w:styleId="Mrltotthiperhivatkozs">
    <w:name w:val="FollowedHyperlink"/>
    <w:basedOn w:val="Bekezdsalapbettpusa"/>
    <w:uiPriority w:val="99"/>
    <w:semiHidden/>
    <w:unhideWhenUsed/>
    <w:rsid w:val="003462CA"/>
    <w:rPr>
      <w:color w:val="800080" w:themeColor="followedHyperlink"/>
      <w:u w:val="single"/>
    </w:rPr>
  </w:style>
  <w:style w:type="paragraph" w:styleId="Buborkszveg">
    <w:name w:val="Balloon Text"/>
    <w:basedOn w:val="Norml"/>
    <w:link w:val="BuborkszvegChar"/>
    <w:uiPriority w:val="99"/>
    <w:semiHidden/>
    <w:unhideWhenUsed/>
    <w:rsid w:val="00530E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0E46"/>
    <w:rPr>
      <w:rFonts w:ascii="Tahoma" w:hAnsi="Tahoma" w:cs="Tahoma"/>
      <w:sz w:val="16"/>
      <w:szCs w:val="16"/>
    </w:rPr>
  </w:style>
  <w:style w:type="character" w:styleId="Jegyzethivatkozs">
    <w:name w:val="annotation reference"/>
    <w:basedOn w:val="Bekezdsalapbettpusa"/>
    <w:uiPriority w:val="99"/>
    <w:semiHidden/>
    <w:unhideWhenUsed/>
    <w:rsid w:val="00436EF1"/>
    <w:rPr>
      <w:sz w:val="16"/>
      <w:szCs w:val="16"/>
    </w:rPr>
  </w:style>
  <w:style w:type="paragraph" w:styleId="Jegyzetszveg">
    <w:name w:val="annotation text"/>
    <w:basedOn w:val="Norml"/>
    <w:link w:val="JegyzetszvegChar"/>
    <w:uiPriority w:val="99"/>
    <w:semiHidden/>
    <w:unhideWhenUsed/>
    <w:rsid w:val="00436EF1"/>
    <w:pPr>
      <w:spacing w:line="240" w:lineRule="auto"/>
    </w:pPr>
    <w:rPr>
      <w:sz w:val="20"/>
      <w:szCs w:val="20"/>
    </w:rPr>
  </w:style>
  <w:style w:type="character" w:customStyle="1" w:styleId="JegyzetszvegChar">
    <w:name w:val="Jegyzetszöveg Char"/>
    <w:basedOn w:val="Bekezdsalapbettpusa"/>
    <w:link w:val="Jegyzetszveg"/>
    <w:uiPriority w:val="99"/>
    <w:semiHidden/>
    <w:rsid w:val="00436EF1"/>
    <w:rPr>
      <w:sz w:val="20"/>
      <w:szCs w:val="20"/>
    </w:rPr>
  </w:style>
  <w:style w:type="paragraph" w:styleId="Megjegyzstrgya">
    <w:name w:val="annotation subject"/>
    <w:basedOn w:val="Jegyzetszveg"/>
    <w:next w:val="Jegyzetszveg"/>
    <w:link w:val="MegjegyzstrgyaChar"/>
    <w:uiPriority w:val="99"/>
    <w:semiHidden/>
    <w:unhideWhenUsed/>
    <w:rsid w:val="00436EF1"/>
    <w:rPr>
      <w:b/>
      <w:bCs/>
    </w:rPr>
  </w:style>
  <w:style w:type="character" w:customStyle="1" w:styleId="MegjegyzstrgyaChar">
    <w:name w:val="Megjegyzés tárgya Char"/>
    <w:basedOn w:val="JegyzetszvegChar"/>
    <w:link w:val="Megjegyzstrgya"/>
    <w:uiPriority w:val="99"/>
    <w:semiHidden/>
    <w:rsid w:val="00436EF1"/>
    <w:rPr>
      <w:b/>
      <w:bCs/>
      <w:sz w:val="20"/>
      <w:szCs w:val="20"/>
    </w:rPr>
  </w:style>
  <w:style w:type="table" w:styleId="Rcsostblzat">
    <w:name w:val="Table Grid"/>
    <w:basedOn w:val="Normltblzat"/>
    <w:uiPriority w:val="59"/>
    <w:rsid w:val="00C9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0027D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45E4"/>
    <w:pPr>
      <w:ind w:left="720"/>
      <w:contextualSpacing/>
    </w:pPr>
  </w:style>
  <w:style w:type="character" w:styleId="Hiperhivatkozs">
    <w:name w:val="Hyperlink"/>
    <w:basedOn w:val="Bekezdsalapbettpusa"/>
    <w:uiPriority w:val="99"/>
    <w:unhideWhenUsed/>
    <w:rsid w:val="00564D2D"/>
    <w:rPr>
      <w:color w:val="0000FF" w:themeColor="hyperlink"/>
      <w:u w:val="single"/>
    </w:rPr>
  </w:style>
  <w:style w:type="paragraph" w:customStyle="1" w:styleId="Bullet-Dot">
    <w:name w:val="Bullet-Dot"/>
    <w:basedOn w:val="Norml"/>
    <w:rsid w:val="000A3E9C"/>
    <w:pPr>
      <w:numPr>
        <w:numId w:val="4"/>
      </w:numPr>
      <w:spacing w:after="0" w:line="240" w:lineRule="auto"/>
    </w:pPr>
    <w:rPr>
      <w:rFonts w:ascii="Verdana" w:eastAsia="Times New Roman" w:hAnsi="Verdana" w:cs="Times New Roman"/>
      <w:color w:val="000080"/>
      <w:sz w:val="16"/>
      <w:szCs w:val="16"/>
      <w:lang w:val="en-GB" w:eastAsia="en-GB"/>
    </w:rPr>
  </w:style>
  <w:style w:type="character" w:styleId="Mrltotthiperhivatkozs">
    <w:name w:val="FollowedHyperlink"/>
    <w:basedOn w:val="Bekezdsalapbettpusa"/>
    <w:uiPriority w:val="99"/>
    <w:semiHidden/>
    <w:unhideWhenUsed/>
    <w:rsid w:val="003462CA"/>
    <w:rPr>
      <w:color w:val="800080" w:themeColor="followedHyperlink"/>
      <w:u w:val="single"/>
    </w:rPr>
  </w:style>
  <w:style w:type="paragraph" w:styleId="Buborkszveg">
    <w:name w:val="Balloon Text"/>
    <w:basedOn w:val="Norml"/>
    <w:link w:val="BuborkszvegChar"/>
    <w:uiPriority w:val="99"/>
    <w:semiHidden/>
    <w:unhideWhenUsed/>
    <w:rsid w:val="00530E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0E46"/>
    <w:rPr>
      <w:rFonts w:ascii="Tahoma" w:hAnsi="Tahoma" w:cs="Tahoma"/>
      <w:sz w:val="16"/>
      <w:szCs w:val="16"/>
    </w:rPr>
  </w:style>
  <w:style w:type="character" w:styleId="Jegyzethivatkozs">
    <w:name w:val="annotation reference"/>
    <w:basedOn w:val="Bekezdsalapbettpusa"/>
    <w:uiPriority w:val="99"/>
    <w:semiHidden/>
    <w:unhideWhenUsed/>
    <w:rsid w:val="00436EF1"/>
    <w:rPr>
      <w:sz w:val="16"/>
      <w:szCs w:val="16"/>
    </w:rPr>
  </w:style>
  <w:style w:type="paragraph" w:styleId="Jegyzetszveg">
    <w:name w:val="annotation text"/>
    <w:basedOn w:val="Norml"/>
    <w:link w:val="JegyzetszvegChar"/>
    <w:uiPriority w:val="99"/>
    <w:semiHidden/>
    <w:unhideWhenUsed/>
    <w:rsid w:val="00436EF1"/>
    <w:pPr>
      <w:spacing w:line="240" w:lineRule="auto"/>
    </w:pPr>
    <w:rPr>
      <w:sz w:val="20"/>
      <w:szCs w:val="20"/>
    </w:rPr>
  </w:style>
  <w:style w:type="character" w:customStyle="1" w:styleId="JegyzetszvegChar">
    <w:name w:val="Jegyzetszöveg Char"/>
    <w:basedOn w:val="Bekezdsalapbettpusa"/>
    <w:link w:val="Jegyzetszveg"/>
    <w:uiPriority w:val="99"/>
    <w:semiHidden/>
    <w:rsid w:val="00436EF1"/>
    <w:rPr>
      <w:sz w:val="20"/>
      <w:szCs w:val="20"/>
    </w:rPr>
  </w:style>
  <w:style w:type="paragraph" w:styleId="Megjegyzstrgya">
    <w:name w:val="annotation subject"/>
    <w:basedOn w:val="Jegyzetszveg"/>
    <w:next w:val="Jegyzetszveg"/>
    <w:link w:val="MegjegyzstrgyaChar"/>
    <w:uiPriority w:val="99"/>
    <w:semiHidden/>
    <w:unhideWhenUsed/>
    <w:rsid w:val="00436EF1"/>
    <w:rPr>
      <w:b/>
      <w:bCs/>
    </w:rPr>
  </w:style>
  <w:style w:type="character" w:customStyle="1" w:styleId="MegjegyzstrgyaChar">
    <w:name w:val="Megjegyzés tárgya Char"/>
    <w:basedOn w:val="JegyzetszvegChar"/>
    <w:link w:val="Megjegyzstrgya"/>
    <w:uiPriority w:val="99"/>
    <w:semiHidden/>
    <w:rsid w:val="00436EF1"/>
    <w:rPr>
      <w:b/>
      <w:bCs/>
      <w:sz w:val="20"/>
      <w:szCs w:val="20"/>
    </w:rPr>
  </w:style>
  <w:style w:type="table" w:styleId="Rcsostblzat">
    <w:name w:val="Table Grid"/>
    <w:basedOn w:val="Normltblzat"/>
    <w:uiPriority w:val="59"/>
    <w:rsid w:val="00C9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0027D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10502">
      <w:bodyDiv w:val="1"/>
      <w:marLeft w:val="0"/>
      <w:marRight w:val="0"/>
      <w:marTop w:val="0"/>
      <w:marBottom w:val="0"/>
      <w:divBdr>
        <w:top w:val="none" w:sz="0" w:space="0" w:color="auto"/>
        <w:left w:val="none" w:sz="0" w:space="0" w:color="auto"/>
        <w:bottom w:val="none" w:sz="0" w:space="0" w:color="auto"/>
        <w:right w:val="none" w:sz="0" w:space="0" w:color="auto"/>
      </w:divBdr>
      <w:divsChild>
        <w:div w:id="1388069194">
          <w:marLeft w:val="0"/>
          <w:marRight w:val="0"/>
          <w:marTop w:val="0"/>
          <w:marBottom w:val="0"/>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258220859">
                  <w:marLeft w:val="0"/>
                  <w:marRight w:val="0"/>
                  <w:marTop w:val="0"/>
                  <w:marBottom w:val="0"/>
                  <w:divBdr>
                    <w:top w:val="none" w:sz="0" w:space="0" w:color="auto"/>
                    <w:left w:val="none" w:sz="0" w:space="0" w:color="auto"/>
                    <w:bottom w:val="none" w:sz="0" w:space="0" w:color="auto"/>
                    <w:right w:val="none" w:sz="0" w:space="0" w:color="auto"/>
                  </w:divBdr>
                  <w:divsChild>
                    <w:div w:id="124085349">
                      <w:marLeft w:val="0"/>
                      <w:marRight w:val="0"/>
                      <w:marTop w:val="0"/>
                      <w:marBottom w:val="0"/>
                      <w:divBdr>
                        <w:top w:val="none" w:sz="0" w:space="0" w:color="auto"/>
                        <w:left w:val="none" w:sz="0" w:space="0" w:color="auto"/>
                        <w:bottom w:val="none" w:sz="0" w:space="0" w:color="auto"/>
                        <w:right w:val="none" w:sz="0" w:space="0" w:color="auto"/>
                      </w:divBdr>
                      <w:divsChild>
                        <w:div w:id="6707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news/culture/110926_h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24F0-FB1B-4B94-AD79-737A5A49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3460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 Anita</dc:creator>
  <cp:lastModifiedBy>user</cp:lastModifiedBy>
  <cp:revision>6</cp:revision>
  <dcterms:created xsi:type="dcterms:W3CDTF">2014-01-23T06:49:00Z</dcterms:created>
  <dcterms:modified xsi:type="dcterms:W3CDTF">2014-03-05T17:06:00Z</dcterms:modified>
</cp:coreProperties>
</file>